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Abdullah Al-Qahtani</w:t>
      </w:r>
    </w:p>
    <w:p>
      <w:r>
        <w:rPr>
          <w:color w:val="4B5563"/>
          <w:sz w:val="18"/>
        </w:rPr>
        <w:t>Riyadh, Saudi Arabia · +966 55 123 4567 · abdullah.alqahtani@email.com · linkedin.com/in/abdullahalqahtani</w:t>
      </w:r>
    </w:p>
    <w:p>
      <w:r>
        <w:rPr>
          <w:i/>
          <w:color w:val="4B5563"/>
          <w:sz w:val="18"/>
        </w:rPr>
        <w:t>[Insert photo here — approx. 35 × 45 mm, professional headshot]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PERSONAL DETAILS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Nationality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Saudi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Date of Birth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10 January 1996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National ID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Saudi National ID holder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Location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Riyadh (open to Eastern Province and NEOM)</w:t>
            </w:r>
          </w:p>
        </w:tc>
      </w:tr>
    </w:tbl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PROFILE</w:t>
      </w:r>
    </w:p>
    <w:p>
      <w:r>
        <w:t>Saudi mechanical engineer with 5 years of experience in plant maintenance and reliability across petrochemical and utilities projects. SCE-licensed, Tamheer-program alumnus, with hands-on CMMS and shutdown-planning experience. Seeking a reliability engineering role within a Vision 2030 programme or major operator.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WORK EXPERIENCE</w:t>
      </w:r>
    </w:p>
    <w:p>
      <w:pPr>
        <w:tabs>
          <w:tab w:pos="9865" w:val="right"/>
        </w:tabs>
      </w:pPr>
      <w:r>
        <w:rPr>
          <w:b/>
        </w:rPr>
        <w:t>Reliability Engineer</w:t>
      </w:r>
      <w:r>
        <w:rPr>
          <w:color w:val="4B5563"/>
          <w:sz w:val="18"/>
        </w:rPr>
        <w:tab/>
        <w:t>Mar 2022 – Present</w:t>
      </w:r>
    </w:p>
    <w:p>
      <w:r>
        <w:rPr>
          <w:i/>
          <w:color w:val="4B5563"/>
          <w:sz w:val="20"/>
        </w:rPr>
        <w:t>Najd Industrial Services — Jubail, Saudi Arabia</w:t>
      </w:r>
    </w:p>
    <w:p>
      <w:pPr>
        <w:pStyle w:val="ListBullet"/>
      </w:pPr>
      <w:r>
        <w:t>Own reliability KPIs for rotating equipment across 2 process units; raised MTBF by 22%</w:t>
      </w:r>
    </w:p>
    <w:p>
      <w:pPr>
        <w:pStyle w:val="ListBullet"/>
      </w:pPr>
      <w:r>
        <w:t>Planned and executed 2 turnarounds (45+ contractors) with zero LTI</w:t>
      </w:r>
    </w:p>
    <w:p>
      <w:pPr>
        <w:pStyle w:val="ListBullet"/>
      </w:pPr>
      <w:r>
        <w:t>Lead root-cause analyses (RCA) and present findings to the operations director</w:t>
      </w:r>
    </w:p>
    <w:p>
      <w:pPr>
        <w:pStyle w:val="ListBullet"/>
      </w:pPr>
      <w:r>
        <w:t>Built a criticality-ranked spares strategy with procurement, cutting stockouts on A-class equipment by 35%</w:t>
      </w:r>
    </w:p>
    <w:p>
      <w:pPr>
        <w:pStyle w:val="ListBullet"/>
      </w:pPr>
      <w:r>
        <w:t>Mentor two Saudi graduate engineers on the company's Tamheer intake</w:t>
      </w:r>
    </w:p>
    <w:p>
      <w:pPr>
        <w:tabs>
          <w:tab w:pos="9865" w:val="right"/>
        </w:tabs>
      </w:pPr>
      <w:r>
        <w:rPr>
          <w:b/>
        </w:rPr>
        <w:t>Graduate Maintenance Engineer (Tamheer → permanent)</w:t>
      </w:r>
      <w:r>
        <w:rPr>
          <w:color w:val="4B5563"/>
          <w:sz w:val="18"/>
        </w:rPr>
        <w:tab/>
        <w:t>Aug 2020 – Feb 2022</w:t>
      </w:r>
    </w:p>
    <w:p>
      <w:r>
        <w:rPr>
          <w:i/>
          <w:color w:val="4B5563"/>
          <w:sz w:val="20"/>
        </w:rPr>
        <w:t>Riyadh Utilities Co.</w:t>
      </w:r>
    </w:p>
    <w:p>
      <w:pPr>
        <w:pStyle w:val="ListBullet"/>
      </w:pPr>
      <w:r>
        <w:t>Completed Tamheer placement and converted to permanent within 6 months</w:t>
      </w:r>
    </w:p>
    <w:p>
      <w:pPr>
        <w:pStyle w:val="ListBullet"/>
      </w:pPr>
      <w:r>
        <w:t>Digitised work-order backlog in SAP PM, clearing 300+ overdue orders</w:t>
      </w:r>
    </w:p>
    <w:p>
      <w:pPr>
        <w:pStyle w:val="ListBullet"/>
      </w:pPr>
      <w:r>
        <w:t>Supported the ISO 55001 asset-management gap assessment across two facilities</w:t>
      </w:r>
    </w:p>
    <w:p>
      <w:pPr>
        <w:tabs>
          <w:tab w:pos="9865" w:val="right"/>
        </w:tabs>
      </w:pPr>
      <w:r>
        <w:rPr>
          <w:b/>
        </w:rPr>
        <w:t>Co-op Trainee, Plant Maintenance</w:t>
      </w:r>
      <w:r>
        <w:rPr>
          <w:color w:val="4B5563"/>
          <w:sz w:val="18"/>
        </w:rPr>
        <w:tab/>
        <w:t>Jan – Aug 2019</w:t>
      </w:r>
    </w:p>
    <w:p>
      <w:r>
        <w:rPr>
          <w:i/>
          <w:color w:val="4B5563"/>
          <w:sz w:val="20"/>
        </w:rPr>
        <w:t>Petrochemical operator — Jubail Industrial City</w:t>
      </w:r>
    </w:p>
    <w:p>
      <w:pPr>
        <w:pStyle w:val="ListBullet"/>
      </w:pPr>
      <w:r>
        <w:t>Seven-month KFUPM co-op rotation across rotating equipment, instrumentation, and planning teams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EDUCATION</w:t>
      </w:r>
    </w:p>
    <w:p>
      <w:pPr>
        <w:tabs>
          <w:tab w:pos="9865" w:val="right"/>
        </w:tabs>
      </w:pPr>
      <w:r>
        <w:rPr>
          <w:b/>
        </w:rPr>
        <w:t>BSc Mechanical Engineering</w:t>
      </w:r>
      <w:r>
        <w:rPr>
          <w:color w:val="4B5563"/>
          <w:sz w:val="18"/>
        </w:rPr>
        <w:tab/>
        <w:t>2015 – 2020</w:t>
      </w:r>
    </w:p>
    <w:p>
      <w:r>
        <w:rPr>
          <w:i/>
          <w:color w:val="4B5563"/>
          <w:sz w:val="20"/>
        </w:rPr>
        <w:t>King Fahd University of Petroleum &amp; Minerals (KFUPM), Dhahran</w:t>
      </w:r>
    </w:p>
    <w:p>
      <w:pPr>
        <w:pStyle w:val="ListBullet"/>
      </w:pPr>
      <w:r>
        <w:t>GPA 3.6 / 4.0 — Second Honours</w:t>
      </w:r>
    </w:p>
    <w:p>
      <w:pPr>
        <w:pStyle w:val="ListBullet"/>
      </w:pPr>
      <w:r>
        <w:t>Senior design project: predictive-maintenance sensor package for centrifugal pumps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CERTIFICATIONS</w:t>
      </w:r>
    </w:p>
    <w:p>
      <w:pPr>
        <w:pStyle w:val="ListBullet"/>
      </w:pPr>
      <w:r>
        <w:t>Saudi Council of Engineers (SCE) — Professional Engineer registration</w:t>
      </w:r>
    </w:p>
    <w:p>
      <w:pPr>
        <w:pStyle w:val="ListBullet"/>
      </w:pPr>
      <w:r>
        <w:t>Certified Maintenance &amp; Reliability Professional (CMRP), 2024</w:t>
      </w:r>
    </w:p>
    <w:p>
      <w:pPr>
        <w:pStyle w:val="ListBullet"/>
      </w:pPr>
      <w:r>
        <w:t>Vibration Analysis Category II (Mobius Institute), 2023</w:t>
      </w:r>
    </w:p>
    <w:p>
      <w:pPr>
        <w:pStyle w:val="ListBullet"/>
      </w:pPr>
      <w:r>
        <w:t>OSHA 30-Hour General Industry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LANGUAGES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Arabic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Native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English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Fluent (worked in English-language plants)</w:t>
            </w:r>
          </w:p>
        </w:tc>
      </w:tr>
    </w:tbl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REFERENCES</w:t>
      </w:r>
    </w:p>
    <w:p>
      <w:r>
        <w:t>Available on request.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