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Aisha Rahman</w:t>
      </w:r>
    </w:p>
    <w:p>
      <w:r>
        <w:rPr>
          <w:color w:val="4B5563"/>
          <w:sz w:val="18"/>
        </w:rPr>
        <w:t>Houston, TX · (713) 555-0142 · aisha.rahman@email.com · linkedin.com/in/aisharahman · TX RN #123456 (eNLC)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SUMMARY</w:t>
      </w:r>
    </w:p>
    <w:p>
      <w:r>
        <w:t>Registered nurse with 6 years of adult critical care and progressive care experience in a Magnet-designated academic medical center. Charge nurse on a 24-bed medical ICU at 1:2 acuity, preceptor to 8 new graduate nurses, and unit lead for sepsis bundle compliance. Active Texas RN license (multistate), CCRN and ACLS current, seeking a critical care staff or charge nurse position.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LICENSES &amp; CERTIFICATIONS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License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Texas RN License #123456 — multistate (eNLC), active through Oct 2027, no encumbrances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Resuscitation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BLS, ACLS and PALS (American Heart Association) — all current through Mar 2027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Specialty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CCRN (AACN) since 2023 · TNCC · NIH Stroke Scale certified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Additional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Ultrasound-guided IV insertion · Central and arterial line management · CRRT trained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CLINICAL EXPERIENCE</w:t>
      </w:r>
    </w:p>
    <w:p>
      <w:pPr>
        <w:tabs>
          <w:tab w:pos="9865" w:val="right"/>
        </w:tabs>
      </w:pPr>
      <w:r>
        <w:rPr>
          <w:b/>
        </w:rPr>
        <w:t>Registered Nurse II, Charge Nurse — Medical Intensive Care Unit</w:t>
      </w:r>
      <w:r>
        <w:rPr>
          <w:color w:val="4B5563"/>
          <w:sz w:val="18"/>
        </w:rPr>
        <w:tab/>
        <w:t>Aug 2022 – Present</w:t>
      </w:r>
    </w:p>
    <w:p>
      <w:r>
        <w:rPr>
          <w:i/>
          <w:color w:val="4B5563"/>
          <w:sz w:val="20"/>
        </w:rPr>
        <w:t>Houston Methodist Hospital — 24-bed MICU, Magnet-designated, 1:1 and 1:2 ratios</w:t>
      </w:r>
    </w:p>
    <w:p>
      <w:pPr>
        <w:pStyle w:val="ListBullet"/>
      </w:pPr>
      <w:r>
        <w:t>Manage 1:2 assignments of mechanically ventilated and vasoactive-dependent patients, including CRRT, prone positioning and targeted temperature management</w:t>
      </w:r>
    </w:p>
    <w:p>
      <w:pPr>
        <w:pStyle w:val="ListBullet"/>
      </w:pPr>
      <w:r>
        <w:t>Charge nurse for night shift on a 24-bed unit — set acuity-based assignments, coordinate admissions with the house supervisor and respond with the rapid response team</w:t>
      </w:r>
    </w:p>
    <w:p>
      <w:pPr>
        <w:pStyle w:val="ListBullet"/>
      </w:pPr>
      <w:r>
        <w:t>Preceptor to 8 new graduate nurses through a 16-week residency; 7 of 8 retained on the unit at 12 months</w:t>
      </w:r>
    </w:p>
    <w:p>
      <w:pPr>
        <w:pStyle w:val="ListBullet"/>
      </w:pPr>
      <w:r>
        <w:t>Unit lead for SEP-1 sepsis bundle compliance — raised documented bundle completion from 74% to 96% across four quarterly audits</w:t>
      </w:r>
    </w:p>
    <w:p>
      <w:pPr>
        <w:pStyle w:val="ListBullet"/>
      </w:pPr>
      <w:r>
        <w:t>Reduced unplanned extubations on nights by introducing a two-nurse sedation-interruption checklist, since adopted unit-wide</w:t>
      </w:r>
    </w:p>
    <w:p>
      <w:pPr>
        <w:pStyle w:val="ListBullet"/>
      </w:pPr>
      <w:r>
        <w:t>Unit-based council representative; contributed to a CAUTI rate reduction from 1.9 to 0.6 per 1,000 catheter days</w:t>
      </w:r>
    </w:p>
    <w:p>
      <w:pPr>
        <w:tabs>
          <w:tab w:pos="9865" w:val="right"/>
        </w:tabs>
      </w:pPr>
      <w:r>
        <w:rPr>
          <w:b/>
        </w:rPr>
        <w:t>Registered Nurse — Progressive Care Unit (Telemetry)</w:t>
      </w:r>
      <w:r>
        <w:rPr>
          <w:color w:val="4B5563"/>
          <w:sz w:val="18"/>
        </w:rPr>
        <w:tab/>
        <w:t>Sep 2020 – Jul 2022</w:t>
      </w:r>
    </w:p>
    <w:p>
      <w:r>
        <w:rPr>
          <w:i/>
          <w:color w:val="4B5563"/>
          <w:sz w:val="20"/>
        </w:rPr>
        <w:t>Memorial Hermann Health System — 32-bed PCU</w:t>
      </w:r>
    </w:p>
    <w:p>
      <w:pPr>
        <w:pStyle w:val="ListBullet"/>
      </w:pPr>
      <w:r>
        <w:t>Carried a 1:4 telemetry assignment including post-cardiac catheterization, non-invasive ventilation, acute stroke and titrated drips</w:t>
      </w:r>
    </w:p>
    <w:p>
      <w:pPr>
        <w:pStyle w:val="ListBullet"/>
      </w:pPr>
      <w:r>
        <w:t>Completed admission assessments and early-warning escalation for an average of 14 admissions per shift</w:t>
      </w:r>
    </w:p>
    <w:p>
      <w:pPr>
        <w:pStyle w:val="ListBullet"/>
      </w:pPr>
      <w:r>
        <w:t>Cut medication administration errors on the unit by a third by redesigning bedside handoff and barcode scanning workflow</w:t>
      </w:r>
    </w:p>
    <w:p>
      <w:pPr>
        <w:pStyle w:val="ListBullet"/>
      </w:pPr>
      <w:r>
        <w:t>Precepted 6 nursing students and 3 new hires to independent practice</w:t>
      </w:r>
    </w:p>
    <w:p>
      <w:pPr>
        <w:pStyle w:val="ListBullet"/>
      </w:pPr>
      <w:r>
        <w:t>Coordinated discharge planning with case management, therapy and social work for complex placements</w:t>
      </w:r>
    </w:p>
    <w:p>
      <w:pPr>
        <w:pStyle w:val="ListBullet"/>
      </w:pPr>
      <w:r>
        <w:t>Served on the falls-prevention committee; unit inpatient falls fell 21% over 12 months</w:t>
      </w:r>
    </w:p>
    <w:p>
      <w:pPr>
        <w:tabs>
          <w:tab w:pos="9865" w:val="right"/>
        </w:tabs>
      </w:pPr>
      <w:r>
        <w:rPr>
          <w:b/>
        </w:rPr>
        <w:t>Graduate Nurse Resident — Medical-Surgical Rotation</w:t>
      </w:r>
      <w:r>
        <w:rPr>
          <w:color w:val="4B5563"/>
          <w:sz w:val="18"/>
        </w:rPr>
        <w:tab/>
        <w:t>Sep 2019 – Aug 2020</w:t>
      </w:r>
    </w:p>
    <w:p>
      <w:r>
        <w:rPr>
          <w:i/>
          <w:color w:val="4B5563"/>
          <w:sz w:val="20"/>
        </w:rPr>
        <w:t>Memorial Hermann Health System — respiratory and gastroenterology units</w:t>
      </w:r>
    </w:p>
    <w:p>
      <w:pPr>
        <w:pStyle w:val="ListBullet"/>
      </w:pPr>
      <w:r>
        <w:t>Completed a 12-month accredited nurse residency across two medical-surgical units with all core competencies signed off</w:t>
      </w:r>
    </w:p>
    <w:p>
      <w:pPr>
        <w:pStyle w:val="ListBullet"/>
      </w:pPr>
      <w:r>
        <w:t>Achieved IV therapy and blood administration competency within the first six months</w:t>
      </w:r>
    </w:p>
    <w:p>
      <w:pPr>
        <w:pStyle w:val="ListBullet"/>
      </w:pPr>
      <w:r>
        <w:t>Supported the COVID-19 response, including proning teams and redeployment to step-down critical care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CLINICAL SKILLS</w:t>
      </w:r>
    </w:p>
    <w:p>
      <w:r>
        <w:t>Ventilation: invasive and non-invasive ventilation, weaning and extubation, prone positioning, tracheostomy care</w:t>
      </w:r>
    </w:p>
    <w:p>
      <w:r>
        <w:t>Hemodynamics: arterial and central lines, CRRT, vasoactive and inotropic titration, hemodynamic monitoring</w:t>
      </w:r>
    </w:p>
    <w:p>
      <w:r>
        <w:t>Assessment: head-to-toe assessment, early-warning escalation, ABG interpretation, sepsis screening and SEP-1 bundle delivery</w:t>
      </w:r>
    </w:p>
    <w:p>
      <w:r>
        <w:t>Systems: Epic (EHR), barcode medication administration, CPOE, core-measure and quality documentation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Bachelor of Science in Nursing (BSN), magna cum laude</w:t>
      </w:r>
      <w:r>
        <w:rPr>
          <w:color w:val="4B5563"/>
          <w:sz w:val="18"/>
        </w:rPr>
        <w:tab/>
        <w:t>2015 – 2019</w:t>
      </w:r>
    </w:p>
    <w:p>
      <w:r>
        <w:rPr>
          <w:i/>
          <w:color w:val="4B5563"/>
          <w:sz w:val="20"/>
        </w:rPr>
        <w:t>University of Texas Health Science Center at Houston</w:t>
      </w:r>
    </w:p>
    <w:p>
      <w:pPr>
        <w:pStyle w:val="ListBullet"/>
      </w:pPr>
      <w:r>
        <w:t>Capstone: early mobility protocols and ICU length of stay</w:t>
      </w:r>
    </w:p>
    <w:p>
      <w:pPr>
        <w:pStyle w:val="ListBullet"/>
      </w:pPr>
      <w:r>
        <w:t>Clinical rotations: ICU, emergency, respiratory, community health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DEVELOPMENT &amp; MEMBERSHIPS</w:t>
      </w:r>
    </w:p>
    <w:p>
      <w:pPr>
        <w:pStyle w:val="ListBullet"/>
      </w:pPr>
      <w:r>
        <w:t>American Association of Critical-Care Nurses (AACN) — member since 2019</w:t>
      </w:r>
    </w:p>
    <w:p>
      <w:pPr>
        <w:pStyle w:val="ListBullet"/>
      </w:pPr>
      <w:r>
        <w:t>American Nurses Association (ANA) — member</w:t>
      </w:r>
    </w:p>
    <w:p>
      <w:pPr>
        <w:pStyle w:val="ListBullet"/>
      </w:pPr>
      <w:r>
        <w:t>Sigma Theta Tau International — inducted 2019</w:t>
      </w:r>
    </w:p>
    <w:p>
      <w:pPr>
        <w:pStyle w:val="ListBullet"/>
      </w:pPr>
      <w:r>
        <w:t>Essentials of Critical Care Orientation (ECCO) — completed 2023</w:t>
      </w:r>
    </w:p>
    <w:p>
      <w:pPr>
        <w:pStyle w:val="ListBullet"/>
      </w:pPr>
      <w:r>
        <w:t>MSN, Acute Care Nurse Practitioner — enrolled, expected 2027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REFERENCES</w:t>
      </w:r>
    </w:p>
    <w:p>
      <w:r>
        <w:t>Available on request.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